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4C" w:rsidRPr="00827836" w:rsidRDefault="00680A4C" w:rsidP="00680A4C">
      <w:pPr>
        <w:pStyle w:val="Subhead"/>
      </w:pPr>
      <w:r w:rsidRPr="00827836">
        <w:t>Internet Data Exchange (IDX)</w:t>
      </w:r>
    </w:p>
    <w:p w:rsidR="00680A4C" w:rsidRPr="00827836" w:rsidRDefault="00680A4C" w:rsidP="00680A4C">
      <w:pPr>
        <w:pStyle w:val="SmallerSubhead"/>
      </w:pPr>
      <w:r w:rsidRPr="00827836">
        <w:t xml:space="preserve">Section </w:t>
      </w:r>
      <w:proofErr w:type="gramStart"/>
      <w:r w:rsidRPr="00827836">
        <w:t>18</w:t>
      </w:r>
      <w:r>
        <w:t xml:space="preserve">  </w:t>
      </w:r>
      <w:r w:rsidRPr="00827836">
        <w:t>IDX</w:t>
      </w:r>
      <w:proofErr w:type="gramEnd"/>
      <w:r w:rsidRPr="00827836">
        <w:t xml:space="preserve"> Defined</w:t>
      </w:r>
    </w:p>
    <w:p w:rsidR="00680A4C" w:rsidRPr="00827836" w:rsidRDefault="00680A4C" w:rsidP="00680A4C">
      <w:r w:rsidRPr="00827836">
        <w:t xml:space="preserve">IDX affords MLS participants the ability to authorize limited electronic display of their listings by other participants. </w:t>
      </w:r>
      <w:r w:rsidRPr="00BA782B">
        <w:rPr>
          <w:i/>
        </w:rPr>
        <w:t>(Amended 5/12)</w:t>
      </w:r>
      <w:r w:rsidRPr="00827836">
        <w:t xml:space="preserve"> </w:t>
      </w:r>
      <w:r w:rsidRPr="00BA782B">
        <w:rPr>
          <w:b/>
          <w:color w:val="FF0000"/>
        </w:rPr>
        <w:t>M</w:t>
      </w:r>
      <w:r w:rsidRPr="00827836">
        <w:t xml:space="preserve"> </w:t>
      </w:r>
    </w:p>
    <w:p w:rsidR="00680A4C" w:rsidRPr="00827836" w:rsidRDefault="00680A4C" w:rsidP="00680A4C">
      <w:pPr>
        <w:pStyle w:val="SmallerSubhead"/>
      </w:pPr>
      <w:r w:rsidRPr="00827836">
        <w:t xml:space="preserve">Section </w:t>
      </w:r>
      <w:proofErr w:type="gramStart"/>
      <w:r w:rsidRPr="00827836">
        <w:t>18.1</w:t>
      </w:r>
      <w:r>
        <w:t xml:space="preserve">  </w:t>
      </w:r>
      <w:r w:rsidRPr="00827836">
        <w:t>Authorization</w:t>
      </w:r>
      <w:proofErr w:type="gramEnd"/>
    </w:p>
    <w:p w:rsidR="00680A4C" w:rsidRPr="00827836" w:rsidRDefault="00680A4C" w:rsidP="00680A4C">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rsidR="00680A4C" w:rsidRPr="00827836" w:rsidRDefault="00680A4C" w:rsidP="00680A4C">
      <w:r w:rsidRPr="00BA782B">
        <w:rPr>
          <w:b/>
          <w:color w:val="FF0000"/>
        </w:rPr>
        <w:t>Option #1:</w:t>
      </w:r>
      <w:r>
        <w:t xml:space="preserve"> </w:t>
      </w:r>
      <w:r w:rsidRPr="00827836">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w:t>
      </w:r>
      <w:r w:rsidRPr="00BA782B">
        <w:rPr>
          <w:i/>
        </w:rPr>
        <w:t>(Amended 05/12)</w:t>
      </w:r>
    </w:p>
    <w:p w:rsidR="00680A4C" w:rsidRPr="00827836" w:rsidRDefault="00680A4C" w:rsidP="00680A4C">
      <w:r w:rsidRPr="00BA782B">
        <w:rPr>
          <w:b/>
          <w:color w:val="FF0000"/>
        </w:rPr>
        <w:t>Option #2:</w:t>
      </w:r>
      <w:r>
        <w:t xml:space="preserve"> </w:t>
      </w:r>
      <w:r w:rsidRPr="00827836">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w:t>
      </w:r>
      <w:r w:rsidRPr="00BA782B">
        <w:rPr>
          <w:i/>
        </w:rPr>
        <w:t>. (Amended 05/12)</w:t>
      </w:r>
      <w:r w:rsidRPr="00827836">
        <w:t xml:space="preserve"> </w:t>
      </w:r>
    </w:p>
    <w:p w:rsidR="00680A4C" w:rsidRPr="00827836" w:rsidRDefault="00680A4C" w:rsidP="00680A4C">
      <w:pPr>
        <w:pStyle w:val="SmallerSubhead"/>
      </w:pPr>
      <w:r w:rsidRPr="00827836">
        <w:t xml:space="preserve">Section </w:t>
      </w:r>
      <w:proofErr w:type="gramStart"/>
      <w:r w:rsidRPr="00827836">
        <w:t>18.2</w:t>
      </w:r>
      <w:r>
        <w:t xml:space="preserve">  </w:t>
      </w:r>
      <w:r w:rsidRPr="00827836">
        <w:t>Participation</w:t>
      </w:r>
      <w:proofErr w:type="gramEnd"/>
    </w:p>
    <w:p w:rsidR="00680A4C" w:rsidRPr="00827836" w:rsidRDefault="00680A4C" w:rsidP="00680A4C">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rsidR="00680A4C" w:rsidRPr="00827836" w:rsidRDefault="00680A4C" w:rsidP="00680A4C">
      <w:r w:rsidRPr="00BA782B">
        <w:rPr>
          <w:b/>
          <w:color w:val="FF0000"/>
        </w:rPr>
        <w:t>Option #1:</w:t>
      </w:r>
      <w:r>
        <w:t xml:space="preserve"> </w:t>
      </w:r>
      <w:r w:rsidRPr="00827836">
        <w:t>Participation in IDX is available to all MLS participants who consent to display of their listings by other participants.</w:t>
      </w:r>
    </w:p>
    <w:p w:rsidR="00680A4C" w:rsidRPr="00827836" w:rsidRDefault="00680A4C" w:rsidP="00680A4C">
      <w:r w:rsidRPr="00BA782B">
        <w:rPr>
          <w:b/>
          <w:color w:val="FF0000"/>
        </w:rPr>
        <w:t>Option #2:</w:t>
      </w:r>
      <w:r>
        <w:t xml:space="preserve"> </w:t>
      </w:r>
      <w:r w:rsidRPr="00827836">
        <w:t xml:space="preserve">Participation in IDX is available to all MLS participants who are </w:t>
      </w:r>
      <w:r>
        <w:t>Realtors</w:t>
      </w:r>
      <w:r w:rsidRPr="00827836">
        <w:t>® and who consent to display of their listings by other participants.</w:t>
      </w:r>
    </w:p>
    <w:p w:rsidR="00680A4C" w:rsidRPr="00827836" w:rsidRDefault="00680A4C" w:rsidP="00680A4C">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rsidR="00680A4C" w:rsidRPr="00827836" w:rsidRDefault="00680A4C" w:rsidP="00680A4C">
      <w:r w:rsidRPr="00BA782B">
        <w:rPr>
          <w:b/>
          <w:color w:val="FF0000"/>
        </w:rPr>
        <w:t>Option #4:</w:t>
      </w:r>
      <w:r>
        <w:t xml:space="preserve"> </w:t>
      </w:r>
      <w:r w:rsidRPr="00827836">
        <w:t xml:space="preserve">Participation in IDX is available to all MLS participants who are </w:t>
      </w:r>
      <w:r>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rsidR="00680A4C" w:rsidRPr="00827836" w:rsidRDefault="00680A4C" w:rsidP="00680A4C">
      <w:pPr>
        <w:pStyle w:val="SmallerSubhead"/>
      </w:pPr>
      <w:r w:rsidRPr="00827836">
        <w:t>Section 18.2.1</w:t>
      </w:r>
    </w:p>
    <w:p w:rsidR="00680A4C" w:rsidRPr="00827836" w:rsidRDefault="00680A4C" w:rsidP="00680A4C">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rsidR="00680A4C" w:rsidRPr="00827836" w:rsidRDefault="00680A4C" w:rsidP="00680A4C">
      <w:pPr>
        <w:pStyle w:val="SmallerSubhead"/>
      </w:pPr>
      <w:r w:rsidRPr="00827836">
        <w:lastRenderedPageBreak/>
        <w:t>Section 18.2.2</w:t>
      </w:r>
    </w:p>
    <w:p w:rsidR="00680A4C" w:rsidRPr="00827836" w:rsidRDefault="00680A4C" w:rsidP="00680A4C">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rsidR="00680A4C" w:rsidRPr="00827836" w:rsidRDefault="00680A4C" w:rsidP="00680A4C">
      <w:pPr>
        <w:pStyle w:val="SmallerSubhead"/>
      </w:pPr>
      <w:r w:rsidRPr="00827836">
        <w:t>Section 18.2.3</w:t>
      </w:r>
    </w:p>
    <w:p w:rsidR="00680A4C" w:rsidRPr="00827836" w:rsidRDefault="00680A4C" w:rsidP="00680A4C">
      <w:r w:rsidRPr="00827836">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w:t>
      </w:r>
      <w:r w:rsidRPr="002018EA">
        <w:rPr>
          <w:i/>
        </w:rPr>
        <w:t>(Amended 05/12)</w:t>
      </w:r>
      <w:r w:rsidRPr="00827836">
        <w:t xml:space="preserve"> </w:t>
      </w:r>
      <w:r w:rsidRPr="002018EA">
        <w:rPr>
          <w:b/>
          <w:color w:val="FF0000"/>
        </w:rPr>
        <w:t>M</w:t>
      </w:r>
    </w:p>
    <w:p w:rsidR="00680A4C" w:rsidRPr="00827836" w:rsidRDefault="00680A4C" w:rsidP="00680A4C">
      <w:pPr>
        <w:pStyle w:val="SmallerSubhead"/>
      </w:pPr>
      <w:r w:rsidRPr="00827836">
        <w:t>Section 18.2.4</w:t>
      </w:r>
    </w:p>
    <w:p w:rsidR="00680A4C" w:rsidRPr="00827836" w:rsidRDefault="00680A4C" w:rsidP="00680A4C">
      <w:r w:rsidRPr="00827836">
        <w:t xml:space="preserve">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on any IDX site must be independently made by each participant. </w:t>
      </w:r>
      <w:r w:rsidRPr="002E1C51">
        <w:rPr>
          <w:i/>
        </w:rPr>
        <w:t xml:space="preserve">(Amended 11/06) </w:t>
      </w:r>
      <w:r w:rsidRPr="002E1C51">
        <w:rPr>
          <w:b/>
          <w:color w:val="FF0000"/>
        </w:rPr>
        <w:t>M</w:t>
      </w:r>
    </w:p>
    <w:p w:rsidR="00680A4C" w:rsidRPr="00827836" w:rsidRDefault="00680A4C" w:rsidP="00680A4C">
      <w:pPr>
        <w:pStyle w:val="SmallerSubhead"/>
      </w:pPr>
      <w:r w:rsidRPr="00827836">
        <w:t>Section 18.2.5</w:t>
      </w:r>
    </w:p>
    <w:p w:rsidR="00680A4C" w:rsidRPr="00827836" w:rsidRDefault="00680A4C" w:rsidP="00680A4C">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rsidR="00680A4C" w:rsidRPr="00827836" w:rsidRDefault="00680A4C" w:rsidP="00680A4C">
      <w:pPr>
        <w:pStyle w:val="SmallerSubhead"/>
      </w:pPr>
      <w:r w:rsidRPr="00827836">
        <w:t>Section 18.2.6</w:t>
      </w:r>
    </w:p>
    <w:p w:rsidR="00680A4C" w:rsidRPr="00827836" w:rsidRDefault="00680A4C" w:rsidP="00680A4C">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rsidR="00680A4C" w:rsidRPr="00827836" w:rsidRDefault="00680A4C" w:rsidP="00680A4C">
      <w:pPr>
        <w:pStyle w:val="SmallerSubhead"/>
      </w:pPr>
      <w:r w:rsidRPr="00827836">
        <w:t>Section 18.2.7</w:t>
      </w:r>
    </w:p>
    <w:p w:rsidR="00680A4C" w:rsidRPr="00827836" w:rsidRDefault="00680A4C" w:rsidP="00680A4C">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rsidR="00680A4C" w:rsidRPr="00827836" w:rsidRDefault="00680A4C" w:rsidP="00680A4C">
      <w:pPr>
        <w:pStyle w:val="SmallerSubhead"/>
      </w:pPr>
      <w:r w:rsidRPr="00827836">
        <w:t>Section 18.2.8</w:t>
      </w:r>
    </w:p>
    <w:p w:rsidR="00680A4C" w:rsidRPr="00827836" w:rsidRDefault="00680A4C" w:rsidP="00680A4C">
      <w:r w:rsidRPr="00827836">
        <w:t>Any IDX display controlled by a participant or subscriber that</w:t>
      </w:r>
    </w:p>
    <w:p w:rsidR="00680A4C" w:rsidRPr="00827836" w:rsidRDefault="00680A4C" w:rsidP="00680A4C">
      <w:pPr>
        <w:pStyle w:val="letterlistindented"/>
      </w:pPr>
      <w:proofErr w:type="gramStart"/>
      <w:r w:rsidRPr="00827836">
        <w:t>a</w:t>
      </w:r>
      <w:proofErr w:type="gramEnd"/>
      <w:r w:rsidRPr="00827836">
        <w:t>.</w:t>
      </w:r>
      <w:r>
        <w:tab/>
      </w:r>
      <w:r w:rsidRPr="00827836">
        <w:t>allows third-parties to write comments or reviews about particular listings or displays a hyperlink to such comments or reviews in immediate conjunction with particular listings, or</w:t>
      </w:r>
    </w:p>
    <w:p w:rsidR="00680A4C" w:rsidRPr="00827836" w:rsidRDefault="00680A4C" w:rsidP="00680A4C">
      <w:pPr>
        <w:pStyle w:val="letterlistindented"/>
      </w:pPr>
      <w:proofErr w:type="gramStart"/>
      <w:r w:rsidRPr="00827836">
        <w:t>b</w:t>
      </w:r>
      <w:proofErr w:type="gramEnd"/>
      <w:r w:rsidRPr="00827836">
        <w:t>.</w:t>
      </w:r>
      <w:r>
        <w:tab/>
      </w:r>
      <w:r w:rsidRPr="00827836">
        <w:t>displays an automated estimate of the market value of the listing (or hyperlink to such estimate) in immediate conjunction with the listing,</w:t>
      </w:r>
    </w:p>
    <w:p w:rsidR="00680A4C" w:rsidRPr="00827836" w:rsidRDefault="00680A4C" w:rsidP="00680A4C">
      <w:proofErr w:type="gramStart"/>
      <w:r w:rsidRPr="00827836">
        <w:t>either</w:t>
      </w:r>
      <w:proofErr w:type="gramEnd"/>
      <w:r w:rsidRPr="00827836">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rsidR="00680A4C" w:rsidRPr="00827836" w:rsidRDefault="00680A4C" w:rsidP="00680A4C">
      <w:pPr>
        <w:pStyle w:val="SmallerSubhead"/>
      </w:pPr>
      <w:r w:rsidRPr="00827836">
        <w:lastRenderedPageBreak/>
        <w:t>Section 18.2.9</w:t>
      </w:r>
    </w:p>
    <w:p w:rsidR="00680A4C" w:rsidRPr="00827836" w:rsidRDefault="00680A4C" w:rsidP="00680A4C">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rsidR="00680A4C" w:rsidRPr="00827836" w:rsidRDefault="00680A4C" w:rsidP="00680A4C">
      <w:pPr>
        <w:pStyle w:val="SmallerSubhead"/>
      </w:pPr>
      <w:r w:rsidRPr="00827836">
        <w:t>Section 18.2.10</w:t>
      </w:r>
    </w:p>
    <w:p w:rsidR="00680A4C" w:rsidRPr="00827836" w:rsidRDefault="00680A4C" w:rsidP="00680A4C">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rsidR="00680A4C" w:rsidRPr="00827836" w:rsidRDefault="00680A4C" w:rsidP="00680A4C">
      <w:pPr>
        <w:pStyle w:val="SmallerSubhead"/>
      </w:pPr>
      <w:r w:rsidRPr="00827836">
        <w:t xml:space="preserve">Section 18.2.11 </w:t>
      </w:r>
    </w:p>
    <w:p w:rsidR="00680A4C" w:rsidRPr="00827836" w:rsidRDefault="00680A4C" w:rsidP="00680A4C">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rsidR="00680A4C" w:rsidRPr="00827836" w:rsidRDefault="00680A4C" w:rsidP="00680A4C">
      <w:pPr>
        <w:pStyle w:val="SmallerSubhead"/>
      </w:pPr>
      <w:r w:rsidRPr="00827836">
        <w:t xml:space="preserve">Section </w:t>
      </w:r>
      <w:proofErr w:type="gramStart"/>
      <w:r w:rsidRPr="00827836">
        <w:t>18.3</w:t>
      </w:r>
      <w:r>
        <w:t xml:space="preserve">  </w:t>
      </w:r>
      <w:r w:rsidRPr="00827836">
        <w:t>Display</w:t>
      </w:r>
      <w:proofErr w:type="gramEnd"/>
    </w:p>
    <w:p w:rsidR="00680A4C" w:rsidRPr="00827836" w:rsidRDefault="00680A4C" w:rsidP="00680A4C">
      <w:r w:rsidRPr="00827836">
        <w:t>Display of listing information pursuant to IDX is subject to the following rules:</w:t>
      </w:r>
    </w:p>
    <w:p w:rsidR="00680A4C" w:rsidRPr="00827836" w:rsidRDefault="00680A4C" w:rsidP="00680A4C">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rsidR="00680A4C" w:rsidRPr="00827836" w:rsidRDefault="00680A4C" w:rsidP="00680A4C">
      <w:pPr>
        <w:pStyle w:val="SmallerSubhead"/>
      </w:pPr>
      <w:r w:rsidRPr="00827836">
        <w:t>Section 18.3.1</w:t>
      </w:r>
    </w:p>
    <w:p w:rsidR="00680A4C" w:rsidRPr="00827836" w:rsidRDefault="00680A4C" w:rsidP="00680A4C">
      <w:r w:rsidRPr="00827836">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30EA9">
        <w:rPr>
          <w:i/>
        </w:rPr>
        <w:t>(Amended 05/12)</w:t>
      </w:r>
      <w:r w:rsidRPr="00827836">
        <w:t xml:space="preserve"> </w:t>
      </w:r>
      <w:r w:rsidRPr="00F30EA9">
        <w:rPr>
          <w:b/>
          <w:color w:val="FF0000"/>
        </w:rPr>
        <w:t>O</w:t>
      </w:r>
    </w:p>
    <w:p w:rsidR="00680A4C" w:rsidRPr="00827836" w:rsidRDefault="00680A4C" w:rsidP="00680A4C">
      <w:pPr>
        <w:pStyle w:val="SmallerSubhead"/>
      </w:pPr>
      <w:r w:rsidRPr="00827836">
        <w:t>Section 18.3.1.1</w:t>
      </w:r>
    </w:p>
    <w:p w:rsidR="00680A4C" w:rsidRPr="00827836" w:rsidRDefault="00680A4C" w:rsidP="00680A4C">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rsidR="00680A4C" w:rsidRPr="00827836" w:rsidRDefault="00680A4C" w:rsidP="00680A4C">
      <w:pPr>
        <w:pStyle w:val="SmallerSubhead"/>
      </w:pPr>
      <w:r w:rsidRPr="00827836">
        <w:t>Section 18.3.2</w:t>
      </w:r>
    </w:p>
    <w:p w:rsidR="00680A4C" w:rsidRPr="00827836" w:rsidRDefault="00680A4C" w:rsidP="00680A4C">
      <w:proofErr w:type="gramStart"/>
      <w:r w:rsidRPr="00827836">
        <w:t>Deleted May 2015.</w:t>
      </w:r>
      <w:proofErr w:type="gramEnd"/>
    </w:p>
    <w:p w:rsidR="00680A4C" w:rsidRPr="00827836" w:rsidRDefault="00680A4C" w:rsidP="00680A4C">
      <w:pPr>
        <w:pStyle w:val="SmallerSubhead"/>
      </w:pPr>
      <w:r w:rsidRPr="00827836">
        <w:lastRenderedPageBreak/>
        <w:t>Section 18.3.3</w:t>
      </w:r>
    </w:p>
    <w:p w:rsidR="00680A4C" w:rsidRPr="00827836" w:rsidRDefault="00680A4C" w:rsidP="00680A4C">
      <w:r w:rsidRPr="00827836">
        <w:t xml:space="preserve">All listings displayed pursuant to IDX shall identify the listing firm in a reasonably prominent location and in a readily visible color and typeface not smaller than the median used in the display of listing data.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r w:rsidRPr="00827836">
        <w:t xml:space="preserve"> </w:t>
      </w:r>
    </w:p>
    <w:p w:rsidR="00680A4C" w:rsidRPr="00827836" w:rsidRDefault="00680A4C" w:rsidP="00680A4C">
      <w:pPr>
        <w:pStyle w:val="SmallerSubhead"/>
      </w:pPr>
      <w:r w:rsidRPr="00827836">
        <w:t>Section 18.3.4</w:t>
      </w:r>
    </w:p>
    <w:p w:rsidR="00680A4C" w:rsidRPr="00827836" w:rsidRDefault="00680A4C" w:rsidP="00680A4C">
      <w:r w:rsidRPr="00F30EA9">
        <w:t>All listings displayed pursuant to IDX shall identify the listing</w:t>
      </w:r>
      <w:r w:rsidRPr="00827836">
        <w:t xml:space="preserve"> agent. </w:t>
      </w:r>
      <w:r w:rsidRPr="00F30EA9">
        <w:rPr>
          <w:b/>
          <w:color w:val="FF0000"/>
        </w:rPr>
        <w:t>O</w:t>
      </w:r>
      <w:r w:rsidRPr="00827836">
        <w:t xml:space="preserve"> </w:t>
      </w:r>
    </w:p>
    <w:p w:rsidR="00680A4C" w:rsidRPr="00827836" w:rsidRDefault="00680A4C" w:rsidP="00680A4C">
      <w:pPr>
        <w:pStyle w:val="SmallerSubhead"/>
      </w:pPr>
      <w:r w:rsidRPr="00827836">
        <w:t>Section 18.3.5</w:t>
      </w:r>
    </w:p>
    <w:p w:rsidR="00680A4C" w:rsidRPr="00827836" w:rsidRDefault="00680A4C" w:rsidP="00680A4C">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rsidR="00680A4C" w:rsidRPr="00827836" w:rsidRDefault="00680A4C" w:rsidP="00680A4C">
      <w:pPr>
        <w:pStyle w:val="SmallerSubhead"/>
      </w:pPr>
      <w:r w:rsidRPr="00827836">
        <w:t>Section 18.3.6</w:t>
      </w:r>
    </w:p>
    <w:p w:rsidR="00680A4C" w:rsidRPr="00827836" w:rsidRDefault="00680A4C" w:rsidP="00680A4C">
      <w:proofErr w:type="gramStart"/>
      <w:r w:rsidRPr="00827836">
        <w:t>Deleted November 2006.</w:t>
      </w:r>
      <w:proofErr w:type="gramEnd"/>
    </w:p>
    <w:p w:rsidR="00680A4C" w:rsidRPr="00827836" w:rsidRDefault="00680A4C" w:rsidP="00680A4C">
      <w:pPr>
        <w:pStyle w:val="SmallerSubhead"/>
      </w:pPr>
      <w:r w:rsidRPr="00827836">
        <w:t>Section 18.3.7</w:t>
      </w:r>
    </w:p>
    <w:p w:rsidR="00680A4C" w:rsidRPr="00827836" w:rsidRDefault="00680A4C" w:rsidP="00680A4C">
      <w:r w:rsidRPr="00827836">
        <w:t xml:space="preserve">All listings displayed pursuant to IDX shall show the MLS as the source of the information.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p>
    <w:p w:rsidR="00680A4C" w:rsidRPr="00827836" w:rsidRDefault="00680A4C" w:rsidP="00680A4C">
      <w:pPr>
        <w:pStyle w:val="SmallerSubhead"/>
      </w:pPr>
      <w:r w:rsidRPr="00827836">
        <w:t>Section 18.3.8</w:t>
      </w:r>
    </w:p>
    <w:p w:rsidR="00680A4C" w:rsidRPr="00827836" w:rsidRDefault="00680A4C" w:rsidP="00680A4C">
      <w:r w:rsidRPr="00827836">
        <w:t>Participants (and their affiliated licensees, if applicable) shall indicate on their websites that IDX information is provided exclusively for consumers’ personal,</w:t>
      </w:r>
      <w:r>
        <w:t xml:space="preserve"> </w:t>
      </w:r>
      <w:r w:rsidRPr="00827836">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p>
    <w:p w:rsidR="00680A4C" w:rsidRPr="00827836" w:rsidRDefault="00680A4C" w:rsidP="00680A4C">
      <w:pPr>
        <w:pStyle w:val="SmallerSubhead"/>
      </w:pPr>
      <w:r w:rsidRPr="00827836">
        <w:t>Section 18.3.9</w:t>
      </w:r>
    </w:p>
    <w:p w:rsidR="00680A4C" w:rsidRPr="00827836" w:rsidRDefault="00680A4C" w:rsidP="00680A4C">
      <w:r w:rsidRPr="00827836">
        <w:t>The data consumers can retrieve or download in response to an inquiry shall be determined by the MLS</w:t>
      </w:r>
      <w:r>
        <w:t xml:space="preserve"> </w:t>
      </w:r>
      <w:r w:rsidRPr="00827836">
        <w:t>but in no instance shall be limited to fewer than one hundred (100) listings or five percent (5%) of the listings available for IDX</w:t>
      </w:r>
      <w:r>
        <w:t xml:space="preserve"> </w:t>
      </w:r>
      <w:r w:rsidRPr="00827836">
        <w:t xml:space="preserve">display, whichever is fewer. </w:t>
      </w:r>
      <w:r w:rsidRPr="00F30EA9">
        <w:rPr>
          <w:i/>
        </w:rPr>
        <w:t>(Amended 11/09)</w:t>
      </w:r>
      <w:r w:rsidRPr="00827836">
        <w:t xml:space="preserve"> </w:t>
      </w:r>
      <w:r w:rsidRPr="00F30EA9">
        <w:rPr>
          <w:b/>
          <w:color w:val="FF0000"/>
        </w:rPr>
        <w:t>O</w:t>
      </w:r>
    </w:p>
    <w:p w:rsidR="00680A4C" w:rsidRPr="00827836" w:rsidRDefault="00680A4C" w:rsidP="00680A4C">
      <w:pPr>
        <w:pStyle w:val="SmallerSubhead"/>
      </w:pPr>
      <w:r w:rsidRPr="00827836">
        <w:t>Section 18.3.10</w:t>
      </w:r>
    </w:p>
    <w:p w:rsidR="00680A4C" w:rsidRPr="00827836" w:rsidRDefault="00680A4C" w:rsidP="00680A4C">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rsidR="00680A4C" w:rsidRPr="00827836" w:rsidRDefault="00680A4C" w:rsidP="00680A4C">
      <w:pPr>
        <w:pStyle w:val="SmallerSubhead"/>
      </w:pPr>
      <w:r w:rsidRPr="00827836">
        <w:lastRenderedPageBreak/>
        <w:t>Section 18.3.11</w:t>
      </w:r>
    </w:p>
    <w:p w:rsidR="00680A4C" w:rsidRPr="00827836" w:rsidRDefault="00680A4C" w:rsidP="00680A4C">
      <w:r w:rsidRPr="00827836">
        <w:t xml:space="preserve">Listings obtained through IDX feeds from </w:t>
      </w:r>
      <w:r>
        <w:t>Realtor®</w:t>
      </w:r>
      <w:r w:rsidRPr="00827836">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Displays of minimal information (e.g., “thumbnails”, text messages, “tweets”, etc., of two hundred [200] characters or less) are exempt from this requirement but only when linked directly to a display that includes all required disclosures. </w:t>
      </w:r>
      <w:r w:rsidRPr="00F30EA9">
        <w:rPr>
          <w:i/>
        </w:rPr>
        <w:t xml:space="preserve">(Amended 11/14) </w:t>
      </w:r>
      <w:r w:rsidRPr="00F30EA9">
        <w:rPr>
          <w:b/>
          <w:color w:val="FF0000"/>
        </w:rPr>
        <w:t>O</w:t>
      </w:r>
    </w:p>
    <w:p w:rsidR="00680A4C" w:rsidRPr="00827836" w:rsidRDefault="00680A4C" w:rsidP="00680A4C">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rsidR="00680A4C" w:rsidRPr="00827836" w:rsidRDefault="00680A4C" w:rsidP="00680A4C">
      <w:pPr>
        <w:pStyle w:val="SmallerSubhead"/>
      </w:pPr>
      <w:r w:rsidRPr="00827836">
        <w:t>Section 18.3.12</w:t>
      </w:r>
    </w:p>
    <w:p w:rsidR="00680A4C" w:rsidRPr="00827836" w:rsidRDefault="00680A4C" w:rsidP="00680A4C">
      <w:r w:rsidRPr="00827836">
        <w:t xml:space="preserve">Display of expired, withdrawn, and sold listings* is prohibited. </w:t>
      </w:r>
      <w:r w:rsidRPr="00F30EA9">
        <w:rPr>
          <w:i/>
        </w:rPr>
        <w:t xml:space="preserve">(Amended 11/15) </w:t>
      </w:r>
      <w:r w:rsidRPr="00F30EA9">
        <w:rPr>
          <w:b/>
          <w:color w:val="FF0000"/>
        </w:rPr>
        <w:t>O</w:t>
      </w:r>
    </w:p>
    <w:p w:rsidR="00680A4C" w:rsidRPr="00827836" w:rsidRDefault="00680A4C" w:rsidP="00680A4C">
      <w:pPr>
        <w:pStyle w:val="Footnote"/>
      </w:pPr>
      <w:r w:rsidRPr="00827836">
        <w:t>*</w:t>
      </w:r>
      <w:r w:rsidRPr="00F30EA9">
        <w:rPr>
          <w:b/>
        </w:rPr>
        <w:t>Note:</w:t>
      </w:r>
      <w:r w:rsidRPr="00827836">
        <w:t xml:space="preserve"> If “sold” information is publicly accessible, display of “sold” listings may not be prohibited. </w:t>
      </w:r>
      <w:r w:rsidRPr="00F30EA9">
        <w:rPr>
          <w:i/>
        </w:rPr>
        <w:t>(Adopted 11/14)</w:t>
      </w:r>
    </w:p>
    <w:p w:rsidR="00680A4C" w:rsidRPr="00827836" w:rsidRDefault="00680A4C" w:rsidP="00680A4C">
      <w:pPr>
        <w:pStyle w:val="SmallerSubhead"/>
      </w:pPr>
      <w:r w:rsidRPr="00827836">
        <w:t>Section 18.3.13</w:t>
      </w:r>
    </w:p>
    <w:p w:rsidR="00680A4C" w:rsidRPr="00827836" w:rsidRDefault="00680A4C" w:rsidP="00680A4C">
      <w:r w:rsidRPr="00827836">
        <w:t xml:space="preserve">Display of seller’s(s’) and/or occupant’s(s’) name(s), phone number(s), and e-mail </w:t>
      </w:r>
      <w:proofErr w:type="gramStart"/>
      <w:r w:rsidRPr="00827836">
        <w:t>address(</w:t>
      </w:r>
      <w:proofErr w:type="spellStart"/>
      <w:proofErr w:type="gramEnd"/>
      <w:r w:rsidRPr="00827836">
        <w:t>es</w:t>
      </w:r>
      <w:proofErr w:type="spellEnd"/>
      <w:r w:rsidRPr="00827836">
        <w:t xml:space="preserve">) is prohibited. </w:t>
      </w:r>
      <w:r w:rsidRPr="00F30EA9">
        <w:rPr>
          <w:b/>
          <w:color w:val="FF0000"/>
        </w:rPr>
        <w:t>O</w:t>
      </w:r>
      <w:r w:rsidRPr="00827836">
        <w:t xml:space="preserve"> </w:t>
      </w:r>
    </w:p>
    <w:p w:rsidR="00680A4C" w:rsidRPr="00827836" w:rsidRDefault="00680A4C" w:rsidP="00680A4C">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rsidR="00680A4C" w:rsidRPr="00827836" w:rsidRDefault="00680A4C" w:rsidP="00680A4C">
      <w:pPr>
        <w:pStyle w:val="SmallerSubhead"/>
      </w:pPr>
      <w:r w:rsidRPr="00827836">
        <w:t>Section 18.3.14</w:t>
      </w:r>
    </w:p>
    <w:p w:rsidR="00680A4C" w:rsidRPr="00827836" w:rsidRDefault="00680A4C" w:rsidP="00680A4C">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rsidR="00680A4C" w:rsidRPr="00827836" w:rsidRDefault="00680A4C" w:rsidP="00680A4C">
      <w:pPr>
        <w:pStyle w:val="SmallerSubhead"/>
      </w:pPr>
      <w:r w:rsidRPr="00827836">
        <w:t>Section 18.3.15</w:t>
      </w:r>
    </w:p>
    <w:p w:rsidR="00680A4C" w:rsidRPr="00827836" w:rsidRDefault="00680A4C" w:rsidP="00680A4C">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rsidR="00680A4C" w:rsidRPr="00827836" w:rsidRDefault="00680A4C" w:rsidP="00680A4C">
      <w:pPr>
        <w:pStyle w:val="SmallerSubhead"/>
      </w:pPr>
      <w:r w:rsidRPr="00827836">
        <w:t>Section 18.3.16</w:t>
      </w:r>
    </w:p>
    <w:p w:rsidR="00680A4C" w:rsidRPr="00827836" w:rsidRDefault="00680A4C" w:rsidP="00680A4C">
      <w:pPr>
        <w:pStyle w:val="NOTE"/>
      </w:pPr>
      <w:r w:rsidRPr="00F30EA9">
        <w:rPr>
          <w:b/>
        </w:rPr>
        <w:t>Note:</w:t>
      </w:r>
      <w:r w:rsidRPr="00827836">
        <w:t xml:space="preserve"> Select one of the following two options.</w:t>
      </w:r>
    </w:p>
    <w:p w:rsidR="00680A4C" w:rsidRPr="00827836" w:rsidRDefault="00680A4C" w:rsidP="00680A4C">
      <w:r w:rsidRPr="00F30EA9">
        <w:rPr>
          <w:b/>
          <w:color w:val="FF0000"/>
        </w:rPr>
        <w:t>Option #1:</w:t>
      </w:r>
      <w:r w:rsidRPr="00827836">
        <w:t xml:space="preserve"> Advertising (including co-branding) on pages displaying IDX-provided listings is prohibited.</w:t>
      </w:r>
    </w:p>
    <w:p w:rsidR="00680A4C" w:rsidRPr="00827836" w:rsidRDefault="00680A4C" w:rsidP="00680A4C">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bookmarkStart w:id="0" w:name="_GoBack"/>
      <w:bookmarkEnd w:id="0"/>
    </w:p>
    <w:p w:rsidR="00680A4C" w:rsidRPr="00827836" w:rsidRDefault="00680A4C" w:rsidP="00680A4C">
      <w:pPr>
        <w:pStyle w:val="SmallerSubhead"/>
      </w:pPr>
      <w:r w:rsidRPr="00827836">
        <w:lastRenderedPageBreak/>
        <w:t xml:space="preserve">Section </w:t>
      </w:r>
      <w:proofErr w:type="gramStart"/>
      <w:r w:rsidRPr="00827836">
        <w:t>18.4</w:t>
      </w:r>
      <w:r>
        <w:t xml:space="preserve">  </w:t>
      </w:r>
      <w:r w:rsidRPr="00827836">
        <w:t>Service</w:t>
      </w:r>
      <w:proofErr w:type="gramEnd"/>
      <w:r w:rsidRPr="00827836">
        <w:t xml:space="preserve"> Fees and Charges</w:t>
      </w:r>
    </w:p>
    <w:p w:rsidR="00680A4C" w:rsidRPr="00827836" w:rsidRDefault="00680A4C" w:rsidP="00680A4C">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rsidR="00DA2CE3" w:rsidRDefault="00DA2CE3"/>
    <w:sectPr w:rsidR="00DA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4C"/>
    <w:rsid w:val="00680A4C"/>
    <w:rsid w:val="00DA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4C"/>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680A4C"/>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letterlistindented">
    <w:name w:val="letter list indented"/>
    <w:basedOn w:val="Normal"/>
    <w:qFormat/>
    <w:rsid w:val="00680A4C"/>
    <w:pPr>
      <w:ind w:left="288" w:hanging="288"/>
    </w:pPr>
  </w:style>
  <w:style w:type="paragraph" w:customStyle="1" w:styleId="SmallerSubhead">
    <w:name w:val="Smaller Subhead"/>
    <w:basedOn w:val="Normal"/>
    <w:qFormat/>
    <w:rsid w:val="00680A4C"/>
    <w:pPr>
      <w:keepNext/>
      <w:widowControl w:val="0"/>
      <w:autoSpaceDE w:val="0"/>
      <w:autoSpaceDN w:val="0"/>
      <w:adjustRightInd w:val="0"/>
      <w:spacing w:after="0"/>
      <w:textAlignment w:val="center"/>
    </w:pPr>
    <w:rPr>
      <w:rFonts w:cs="Helvetica-Bold"/>
      <w:b/>
      <w:bCs/>
      <w:color w:val="000000"/>
      <w:sz w:val="24"/>
      <w:lang w:eastAsia="ja-JP"/>
    </w:rPr>
  </w:style>
  <w:style w:type="paragraph" w:customStyle="1" w:styleId="Footnote">
    <w:name w:val="Footnote"/>
    <w:basedOn w:val="Normal"/>
    <w:qFormat/>
    <w:rsid w:val="00680A4C"/>
    <w:pPr>
      <w:pBdr>
        <w:top w:val="single" w:sz="4" w:space="1" w:color="auto"/>
      </w:pBdr>
    </w:pPr>
    <w:rPr>
      <w:sz w:val="18"/>
      <w:szCs w:val="18"/>
    </w:rPr>
  </w:style>
  <w:style w:type="paragraph" w:customStyle="1" w:styleId="NOTE">
    <w:name w:val="NOTE"/>
    <w:basedOn w:val="Normal"/>
    <w:qFormat/>
    <w:rsid w:val="00680A4C"/>
    <w:pPr>
      <w:ind w:left="562" w:hanging="562"/>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4C"/>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680A4C"/>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letterlistindented">
    <w:name w:val="letter list indented"/>
    <w:basedOn w:val="Normal"/>
    <w:qFormat/>
    <w:rsid w:val="00680A4C"/>
    <w:pPr>
      <w:ind w:left="288" w:hanging="288"/>
    </w:pPr>
  </w:style>
  <w:style w:type="paragraph" w:customStyle="1" w:styleId="SmallerSubhead">
    <w:name w:val="Smaller Subhead"/>
    <w:basedOn w:val="Normal"/>
    <w:qFormat/>
    <w:rsid w:val="00680A4C"/>
    <w:pPr>
      <w:keepNext/>
      <w:widowControl w:val="0"/>
      <w:autoSpaceDE w:val="0"/>
      <w:autoSpaceDN w:val="0"/>
      <w:adjustRightInd w:val="0"/>
      <w:spacing w:after="0"/>
      <w:textAlignment w:val="center"/>
    </w:pPr>
    <w:rPr>
      <w:rFonts w:cs="Helvetica-Bold"/>
      <w:b/>
      <w:bCs/>
      <w:color w:val="000000"/>
      <w:sz w:val="24"/>
      <w:lang w:eastAsia="ja-JP"/>
    </w:rPr>
  </w:style>
  <w:style w:type="paragraph" w:customStyle="1" w:styleId="Footnote">
    <w:name w:val="Footnote"/>
    <w:basedOn w:val="Normal"/>
    <w:qFormat/>
    <w:rsid w:val="00680A4C"/>
    <w:pPr>
      <w:pBdr>
        <w:top w:val="single" w:sz="4" w:space="1" w:color="auto"/>
      </w:pBdr>
    </w:pPr>
    <w:rPr>
      <w:sz w:val="18"/>
      <w:szCs w:val="18"/>
    </w:rPr>
  </w:style>
  <w:style w:type="paragraph" w:customStyle="1" w:styleId="NOTE">
    <w:name w:val="NOTE"/>
    <w:basedOn w:val="Normal"/>
    <w:qFormat/>
    <w:rsid w:val="00680A4C"/>
    <w:pPr>
      <w:ind w:left="562" w:hanging="562"/>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Weeya Baysah</cp:lastModifiedBy>
  <cp:revision>1</cp:revision>
  <dcterms:created xsi:type="dcterms:W3CDTF">2016-01-26T17:25:00Z</dcterms:created>
  <dcterms:modified xsi:type="dcterms:W3CDTF">2016-01-26T17:26:00Z</dcterms:modified>
</cp:coreProperties>
</file>